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Luleå kommunfullmäktige</w:t>
      </w:r>
    </w:p>
    <w:p>
      <w:pPr>
        <w:pStyle w:val="Heading1"/>
      </w:pPr>
      <w:r>
        <w:t xml:space="preserve">Tryggare Luleå – fler kameror och ordningsvakter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Luleå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att anmälda våldsbrott i Luleå centrum ökat med 12 % 2023–2024. Polisen har efterfrågat fler kameror för att klara upp brott. Moderaterna vill införa 50 nya kameror och utökad ordningsvaktsnärvaro på kvällar.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Luleå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50 nya övervakningskameror i centrala Luleå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tecknar avtal om utökad ordningsvaktsnärvaro på 20 000 timmar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trygghetsgrupp inrättas med representanter från polis, kommun och näringsliv.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kommunens trygghetsrapport 2028.</w:t>
      </w:r>
    </w:p>
    <w:p>
      <w:pPr>
        <w:spacing w:before="360"/>
      </w:pPr>
    </w:p>
    <w:p>
      <w:r>
        <w:t xml:space="preserve">Luleå,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Luleå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2026-06-06T01:48:27.161Z</dcterms:created>
  <dcterms:modified xsi:type="dcterms:W3CDTF">2026-06-06T01:48:27.161Z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